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D" w:rsidRPr="00A23752" w:rsidRDefault="00DD220D" w:rsidP="001C49E2">
      <w:pPr>
        <w:rPr>
          <w:lang w:val="ro-MD"/>
        </w:rPr>
      </w:pPr>
    </w:p>
    <w:p w:rsidR="00DD220D" w:rsidRDefault="00DD220D" w:rsidP="001C49E2"/>
    <w:p w:rsidR="00DC1BD5" w:rsidRDefault="00DC1BD5" w:rsidP="00627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CONSILIUL DE ADMINISTRAŢIE </w:t>
      </w:r>
    </w:p>
    <w:p w:rsidR="00DC1BD5" w:rsidRDefault="00DC1BD5" w:rsidP="0062718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HOTĂRÂRE nr.</w:t>
      </w:r>
      <w:r w:rsidR="00644F2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17B05">
        <w:rPr>
          <w:rFonts w:ascii="Times New Roman" w:hAnsi="Times New Roman" w:cs="Times New Roman"/>
          <w:b/>
          <w:bCs/>
          <w:sz w:val="24"/>
          <w:szCs w:val="24"/>
          <w:lang w:val="ro-RO"/>
        </w:rPr>
        <w:t>431</w:t>
      </w:r>
      <w:r w:rsidR="000D003D">
        <w:rPr>
          <w:rFonts w:ascii="Times New Roman" w:hAnsi="Times New Roman" w:cs="Times New Roman"/>
          <w:b/>
          <w:bCs/>
          <w:sz w:val="24"/>
          <w:szCs w:val="24"/>
          <w:lang w:val="ro-RO"/>
        </w:rPr>
        <w:t>/2019</w:t>
      </w:r>
    </w:p>
    <w:p w:rsidR="00DC1BD5" w:rsidRDefault="00A17B05" w:rsidP="00DC1BD5">
      <w:pPr>
        <w:pStyle w:val="HTML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din 22</w:t>
      </w:r>
      <w:r w:rsidR="006271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70C43">
        <w:rPr>
          <w:rFonts w:ascii="Times New Roman" w:hAnsi="Times New Roman" w:cs="Times New Roman"/>
          <w:bCs/>
          <w:sz w:val="24"/>
          <w:szCs w:val="24"/>
          <w:lang w:val="ro-RO"/>
        </w:rPr>
        <w:t>noiem</w:t>
      </w:r>
      <w:r w:rsidR="00DC1BD5">
        <w:rPr>
          <w:rFonts w:ascii="Times New Roman" w:hAnsi="Times New Roman" w:cs="Times New Roman"/>
          <w:bCs/>
          <w:sz w:val="24"/>
          <w:szCs w:val="24"/>
          <w:lang w:val="ro-RO"/>
        </w:rPr>
        <w:t>brie 2019</w:t>
      </w:r>
    </w:p>
    <w:p w:rsidR="00DC1BD5" w:rsidRDefault="00880D48" w:rsidP="00DC1BD5">
      <w:pPr>
        <w:pStyle w:val="HTML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mun. </w:t>
      </w:r>
      <w:r w:rsidR="00DC1BD5">
        <w:rPr>
          <w:rFonts w:ascii="Times New Roman" w:hAnsi="Times New Roman" w:cs="Times New Roman"/>
          <w:bCs/>
          <w:sz w:val="24"/>
          <w:szCs w:val="24"/>
          <w:lang w:val="ro-RO"/>
        </w:rPr>
        <w:t>Chișinău</w:t>
      </w:r>
    </w:p>
    <w:p w:rsidR="00DC1BD5" w:rsidRDefault="00DC1BD5" w:rsidP="00DC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</w:p>
    <w:p w:rsidR="00870C43" w:rsidRDefault="00DC1BD5" w:rsidP="00870C43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ar-SA"/>
        </w:rPr>
        <w:t xml:space="preserve">Cu privire la </w:t>
      </w:r>
      <w:r w:rsidR="006D6724">
        <w:rPr>
          <w:rFonts w:ascii="Times New Roman" w:eastAsia="Times New Roman" w:hAnsi="Times New Roman"/>
          <w:b/>
          <w:sz w:val="24"/>
          <w:szCs w:val="24"/>
          <w:lang w:val="ro-RO" w:eastAsia="ar-SA"/>
        </w:rPr>
        <w:t xml:space="preserve">aprobarea </w:t>
      </w:r>
      <w:r w:rsidR="00812627">
        <w:rPr>
          <w:rFonts w:ascii="Times New Roman" w:hAnsi="Times New Roman"/>
          <w:b/>
          <w:sz w:val="24"/>
          <w:szCs w:val="24"/>
          <w:lang w:val="ro-RO"/>
        </w:rPr>
        <w:t>bugetului</w:t>
      </w:r>
      <w:r w:rsidR="00870C4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DC1BD5" w:rsidRDefault="00870C43" w:rsidP="0087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Agenției Naționale pentru Reglementare în Energetică pentru anul 20</w:t>
      </w:r>
      <w:r w:rsidR="000D003D">
        <w:rPr>
          <w:rFonts w:ascii="Times New Roman" w:hAnsi="Times New Roman"/>
          <w:b/>
          <w:sz w:val="24"/>
          <w:szCs w:val="24"/>
          <w:lang w:val="ro-RO"/>
        </w:rPr>
        <w:t>20</w:t>
      </w:r>
    </w:p>
    <w:p w:rsidR="00DC1BD5" w:rsidRDefault="00DC1BD5" w:rsidP="00DC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</w:p>
    <w:p w:rsidR="00DC1BD5" w:rsidRDefault="00DC1BD5" w:rsidP="00DC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 xml:space="preserve">        În temeiul art. </w:t>
      </w:r>
      <w:r w:rsidR="0044782A"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 xml:space="preserve">11 </w:t>
      </w:r>
      <w:r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 xml:space="preserve">al Legii </w:t>
      </w:r>
      <w:r w:rsidR="00BE07E2"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 xml:space="preserve">cu privire la energetică </w:t>
      </w:r>
      <w:r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>nr. 174</w:t>
      </w:r>
      <w:r w:rsidR="00BE07E2"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 xml:space="preserve"> din </w:t>
      </w:r>
      <w:r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>21.09.2017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782A">
        <w:rPr>
          <w:rFonts w:ascii="Times New Roman" w:hAnsi="Times New Roman"/>
          <w:sz w:val="24"/>
          <w:szCs w:val="24"/>
          <w:lang w:val="ro-RO"/>
        </w:rPr>
        <w:t>art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44782A">
        <w:rPr>
          <w:rFonts w:ascii="Times New Roman" w:hAnsi="Times New Roman"/>
          <w:sz w:val="24"/>
          <w:szCs w:val="24"/>
          <w:lang w:val="ro-RO"/>
        </w:rPr>
        <w:t>7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782A">
        <w:rPr>
          <w:rFonts w:ascii="Times New Roman" w:hAnsi="Times New Roman"/>
          <w:sz w:val="24"/>
          <w:szCs w:val="24"/>
          <w:lang w:val="ro-RO"/>
        </w:rPr>
        <w:t>alin.(4)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782A">
        <w:rPr>
          <w:rFonts w:ascii="Times New Roman" w:eastAsia="Times New Roman" w:hAnsi="Times New Roman"/>
          <w:sz w:val="24"/>
          <w:szCs w:val="24"/>
          <w:lang w:val="ro-MD" w:eastAsia="en-GB"/>
        </w:rPr>
        <w:t>al</w:t>
      </w:r>
      <w:r w:rsidR="0044782A" w:rsidRPr="00B20154">
        <w:rPr>
          <w:rFonts w:ascii="Times New Roman" w:eastAsia="Times New Roman" w:hAnsi="Times New Roman"/>
          <w:sz w:val="24"/>
          <w:szCs w:val="24"/>
          <w:lang w:val="ro-MD" w:eastAsia="en-GB"/>
        </w:rPr>
        <w:t xml:space="preserve"> </w:t>
      </w:r>
      <w:hyperlink r:id="rId8" w:history="1">
        <w:r w:rsidR="0044782A">
          <w:rPr>
            <w:rFonts w:ascii="Times New Roman" w:eastAsia="Times New Roman" w:hAnsi="Times New Roman"/>
            <w:sz w:val="24"/>
            <w:szCs w:val="24"/>
            <w:lang w:val="ro-MD" w:eastAsia="en-GB"/>
          </w:rPr>
          <w:t>Legii</w:t>
        </w:r>
        <w:r w:rsidR="0044782A" w:rsidRPr="00B20154">
          <w:rPr>
            <w:rFonts w:ascii="Times New Roman" w:eastAsia="Times New Roman" w:hAnsi="Times New Roman"/>
            <w:sz w:val="24"/>
            <w:szCs w:val="24"/>
            <w:lang w:val="ro-MD" w:eastAsia="en-GB"/>
          </w:rPr>
          <w:t xml:space="preserve"> </w:t>
        </w:r>
        <w:r w:rsidR="00976F93">
          <w:rPr>
            <w:rFonts w:ascii="Times New Roman" w:eastAsia="Times New Roman" w:hAnsi="Times New Roman"/>
            <w:sz w:val="24"/>
            <w:szCs w:val="24"/>
            <w:lang w:val="ro-MD" w:eastAsia="en-GB"/>
          </w:rPr>
          <w:t>P</w:t>
        </w:r>
        <w:r w:rsidR="00976F93" w:rsidRPr="00B20154">
          <w:rPr>
            <w:rFonts w:ascii="Times New Roman" w:eastAsia="Times New Roman" w:hAnsi="Times New Roman"/>
            <w:sz w:val="24"/>
            <w:szCs w:val="24"/>
            <w:lang w:val="ro-MD" w:eastAsia="en-GB"/>
          </w:rPr>
          <w:t xml:space="preserve">rivind serviciul public de alimentare cu apă şi de canalizare </w:t>
        </w:r>
        <w:r w:rsidR="0044782A" w:rsidRPr="00B20154">
          <w:rPr>
            <w:rFonts w:ascii="Times New Roman" w:eastAsia="Times New Roman" w:hAnsi="Times New Roman"/>
            <w:sz w:val="24"/>
            <w:szCs w:val="24"/>
            <w:lang w:val="ro-MD" w:eastAsia="en-GB"/>
          </w:rPr>
          <w:t>nr.</w:t>
        </w:r>
        <w:r w:rsidR="0044782A">
          <w:rPr>
            <w:rFonts w:ascii="Times New Roman" w:eastAsia="Times New Roman" w:hAnsi="Times New Roman"/>
            <w:sz w:val="24"/>
            <w:szCs w:val="24"/>
            <w:lang w:val="ro-MD" w:eastAsia="en-GB"/>
          </w:rPr>
          <w:t xml:space="preserve"> </w:t>
        </w:r>
        <w:r w:rsidR="00976F93">
          <w:rPr>
            <w:rFonts w:ascii="Times New Roman" w:eastAsia="Times New Roman" w:hAnsi="Times New Roman"/>
            <w:sz w:val="24"/>
            <w:szCs w:val="24"/>
            <w:lang w:val="ro-MD" w:eastAsia="en-GB"/>
          </w:rPr>
          <w:t>303 din 13.12.</w:t>
        </w:r>
        <w:r w:rsidR="0044782A" w:rsidRPr="00B20154">
          <w:rPr>
            <w:rFonts w:ascii="Times New Roman" w:eastAsia="Times New Roman" w:hAnsi="Times New Roman"/>
            <w:sz w:val="24"/>
            <w:szCs w:val="24"/>
            <w:lang w:val="ro-MD" w:eastAsia="en-GB"/>
          </w:rPr>
          <w:t>2013</w:t>
        </w:r>
      </w:hyperlink>
      <w:r w:rsidR="0044782A">
        <w:rPr>
          <w:rFonts w:ascii="Times New Roman" w:eastAsia="Times New Roman" w:hAnsi="Times New Roman"/>
          <w:sz w:val="24"/>
          <w:szCs w:val="24"/>
          <w:lang w:val="ro-MD" w:eastAsia="en-GB"/>
        </w:rPr>
        <w:t>,</w:t>
      </w:r>
      <w:r w:rsidR="00BE07E2">
        <w:rPr>
          <w:rFonts w:ascii="Times New Roman" w:eastAsia="Times New Roman" w:hAnsi="Times New Roman"/>
          <w:sz w:val="24"/>
          <w:szCs w:val="24"/>
          <w:lang w:val="ro-MD" w:eastAsia="en-GB"/>
        </w:rPr>
        <w:t xml:space="preserve"> art. 25 lit. b)</w:t>
      </w:r>
      <w:r w:rsidR="0044782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al Regulamentului de organizare și funcționare a Agenției Naționale pentru Reglementare în Energetică, aprobat prin Hotărârea Parlamentului nr. 334 din 14.12.2018, potrivit cărora Consiliul de administrație al Agenției </w:t>
      </w:r>
      <w:r w:rsidR="00BE07E2" w:rsidRPr="00880D48">
        <w:rPr>
          <w:rFonts w:ascii="Times New Roman" w:hAnsi="Times New Roman"/>
          <w:sz w:val="24"/>
          <w:szCs w:val="24"/>
          <w:lang w:val="ro-MD"/>
        </w:rPr>
        <w:t>aprobă planul anual de activitate şi bugetul anual al Agenţiei</w:t>
      </w:r>
      <w:r w:rsidR="00BE07E2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>Consiliul de administrație</w:t>
      </w:r>
      <w:r w:rsidR="00044CF8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al Agenției Naționale pentru Reglementare în Energetică</w:t>
      </w:r>
      <w:r w:rsidR="00824818">
        <w:rPr>
          <w:rFonts w:ascii="Times New Roman" w:eastAsia="Times New Roman" w:hAnsi="Times New Roman"/>
          <w:sz w:val="24"/>
          <w:szCs w:val="24"/>
          <w:lang w:val="ro-RO"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</w:p>
    <w:p w:rsidR="00DC1BD5" w:rsidRDefault="00DC1BD5" w:rsidP="00DC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</w:p>
    <w:p w:rsidR="000D003D" w:rsidRDefault="00DC1BD5" w:rsidP="000D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ar-SA"/>
        </w:rPr>
        <w:t>HOTĂRĂŞTE:</w:t>
      </w:r>
    </w:p>
    <w:p w:rsidR="00644F24" w:rsidRPr="000D003D" w:rsidRDefault="00644F24" w:rsidP="000D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</w:p>
    <w:p w:rsidR="00901923" w:rsidRPr="00901923" w:rsidRDefault="00901923" w:rsidP="0019479D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aprobă b</w:t>
      </w:r>
      <w:r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>ugetul Agenției Naționale pentru Regleme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>ntare în Energetică pe</w:t>
      </w:r>
      <w:r w:rsidR="00E931EA">
        <w:rPr>
          <w:rFonts w:ascii="Times New Roman" w:eastAsia="Times New Roman" w:hAnsi="Times New Roman"/>
          <w:sz w:val="24"/>
          <w:szCs w:val="24"/>
          <w:lang w:val="ro-RO" w:eastAsia="en-GB"/>
        </w:rPr>
        <w:t>ntru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anul 2020:</w:t>
      </w:r>
    </w:p>
    <w:p w:rsidR="00901923" w:rsidRDefault="000D003D" w:rsidP="00901923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/>
          <w:sz w:val="24"/>
          <w:szCs w:val="24"/>
          <w:lang w:val="ro-RO" w:eastAsia="en-GB"/>
        </w:rPr>
        <w:t>1</w:t>
      </w:r>
      <w:r w:rsidR="00901923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.1. 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venituri în sumă de 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7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1</w:t>
      </w:r>
      <w:r w:rsidR="007E3B75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 xml:space="preserve"> 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3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51</w:t>
      </w:r>
      <w:r w:rsidR="00901923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,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00</w:t>
      </w:r>
      <w:r w:rsidR="00901923" w:rsidRPr="001A1148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 xml:space="preserve"> </w:t>
      </w:r>
      <w:r w:rsidR="00901923" w:rsidRPr="001A1148">
        <w:rPr>
          <w:rFonts w:ascii="Times New Roman" w:eastAsia="Times New Roman" w:hAnsi="Times New Roman"/>
          <w:sz w:val="24"/>
          <w:szCs w:val="24"/>
          <w:lang w:val="ro-RO" w:eastAsia="en-GB"/>
        </w:rPr>
        <w:t>mii lei</w:t>
      </w:r>
      <w:r w:rsidR="00901923">
        <w:rPr>
          <w:rFonts w:ascii="Times New Roman" w:eastAsia="Times New Roman" w:hAnsi="Times New Roman"/>
          <w:sz w:val="24"/>
          <w:szCs w:val="24"/>
          <w:lang w:val="ro-RO" w:eastAsia="en-GB"/>
        </w:rPr>
        <w:t>;</w:t>
      </w:r>
    </w:p>
    <w:p w:rsidR="00DC1BD5" w:rsidRPr="00A17B05" w:rsidRDefault="000D003D" w:rsidP="00901923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/>
          <w:sz w:val="24"/>
          <w:szCs w:val="24"/>
          <w:lang w:val="ro-RO" w:eastAsia="en-GB"/>
        </w:rPr>
        <w:t>1</w:t>
      </w:r>
      <w:r w:rsidR="00901923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.2. 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cheltuieli în sumă de </w:t>
      </w:r>
      <w:r w:rsidR="00901923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1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05</w:t>
      </w:r>
      <w:r w:rsidR="008A59BA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 xml:space="preserve"> 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803</w:t>
      </w:r>
      <w:r w:rsidR="007E3B75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,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58</w:t>
      </w:r>
      <w:r w:rsidR="00901923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</w:t>
      </w:r>
      <w:r w:rsidR="00901923" w:rsidRPr="00276AF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mii lei</w:t>
      </w:r>
      <w:r w:rsidR="00880D48">
        <w:rPr>
          <w:rFonts w:ascii="Times New Roman" w:eastAsia="Times New Roman" w:hAnsi="Times New Roman"/>
          <w:sz w:val="24"/>
          <w:szCs w:val="24"/>
          <w:lang w:val="ro-RO" w:eastAsia="en-GB"/>
        </w:rPr>
        <w:t>,</w:t>
      </w:r>
      <w:r w:rsidR="00A17B05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cu un deficit de 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34</w:t>
      </w:r>
      <w:r w:rsidR="00BA35C2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 xml:space="preserve"> 4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52</w:t>
      </w:r>
      <w:r w:rsidR="00901923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,</w:t>
      </w:r>
      <w:r w:rsidR="006A007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58</w:t>
      </w:r>
      <w:r w:rsidR="00901923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 xml:space="preserve"> </w:t>
      </w:r>
      <w:r w:rsidR="00901923" w:rsidRPr="00276AFB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mii lei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, care va fi acoperit </w:t>
      </w:r>
      <w:r w:rsidR="00A17B05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parțial 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>din soldul mi</w:t>
      </w:r>
      <w:r w:rsidR="00901923">
        <w:rPr>
          <w:rFonts w:ascii="Times New Roman" w:eastAsia="Times New Roman" w:hAnsi="Times New Roman"/>
          <w:sz w:val="24"/>
          <w:szCs w:val="24"/>
          <w:lang w:val="ro-RO" w:eastAsia="en-GB"/>
        </w:rPr>
        <w:t>jloacelor acumulate în anul 2019</w:t>
      </w:r>
      <w:r w:rsidR="00901923" w:rsidRPr="009E74A4">
        <w:rPr>
          <w:rFonts w:ascii="Times New Roman" w:eastAsia="Times New Roman" w:hAnsi="Times New Roman"/>
          <w:sz w:val="24"/>
          <w:szCs w:val="24"/>
          <w:lang w:val="ro-RO" w:eastAsia="en-GB"/>
        </w:rPr>
        <w:t>.</w:t>
      </w:r>
    </w:p>
    <w:p w:rsidR="004478CC" w:rsidRDefault="00901923" w:rsidP="00DC1BD5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en-GB"/>
        </w:rPr>
        <w:t>Se a</w:t>
      </w:r>
      <w:r>
        <w:rPr>
          <w:rFonts w:ascii="Times New Roman" w:hAnsi="Times New Roman"/>
          <w:sz w:val="24"/>
          <w:szCs w:val="24"/>
          <w:lang w:val="ro-RO"/>
        </w:rPr>
        <w:t>probă m</w:t>
      </w:r>
      <w:r w:rsidRPr="00097CB8">
        <w:rPr>
          <w:rFonts w:ascii="Times New Roman" w:eastAsia="Times New Roman" w:hAnsi="Times New Roman"/>
          <w:sz w:val="24"/>
          <w:szCs w:val="24"/>
          <w:lang w:val="ro-RO" w:eastAsia="en-GB"/>
        </w:rPr>
        <w:t>ărimea plăților regulatorii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, </w:t>
      </w:r>
      <w:r w:rsidRPr="00097CB8">
        <w:rPr>
          <w:rFonts w:ascii="Times New Roman" w:eastAsia="Times New Roman" w:hAnsi="Times New Roman"/>
          <w:sz w:val="24"/>
          <w:szCs w:val="24"/>
          <w:lang w:val="ro-RO" w:eastAsia="en-GB"/>
        </w:rPr>
        <w:t>stabilite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și percepute de la titularii de licență din domeniile reglementate de </w:t>
      </w:r>
      <w:r w:rsidRPr="00097CB8">
        <w:rPr>
          <w:rFonts w:ascii="Times New Roman" w:eastAsia="Times New Roman" w:hAnsi="Times New Roman"/>
          <w:sz w:val="24"/>
          <w:szCs w:val="24"/>
          <w:lang w:val="ro-RO" w:eastAsia="en-GB"/>
        </w:rPr>
        <w:t>Agenția Națională pentru Regleme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>ntare în Energetică</w:t>
      </w:r>
      <w:r w:rsidRPr="00901923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GB"/>
        </w:rPr>
        <w:t>pentru anul 2020</w:t>
      </w:r>
      <w:r w:rsidR="00880D48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</w:t>
      </w:r>
      <w:r w:rsidR="00A17B05">
        <w:rPr>
          <w:rFonts w:ascii="Times New Roman" w:eastAsia="Times New Roman" w:hAnsi="Times New Roman"/>
          <w:sz w:val="24"/>
          <w:szCs w:val="24"/>
          <w:lang w:val="ro-RO" w:eastAsia="en-GB"/>
        </w:rPr>
        <w:t>(</w:t>
      </w:r>
      <w:r w:rsidR="00CA7924">
        <w:rPr>
          <w:rFonts w:ascii="Times New Roman" w:eastAsia="Times New Roman" w:hAnsi="Times New Roman"/>
          <w:sz w:val="24"/>
          <w:szCs w:val="24"/>
          <w:lang w:val="ro-RO" w:eastAsia="en-GB"/>
        </w:rPr>
        <w:t>conform A</w:t>
      </w:r>
      <w:r w:rsidR="00880D48">
        <w:rPr>
          <w:rFonts w:ascii="Times New Roman" w:eastAsia="Times New Roman" w:hAnsi="Times New Roman"/>
          <w:sz w:val="24"/>
          <w:szCs w:val="24"/>
          <w:lang w:val="ro-RO" w:eastAsia="en-GB"/>
        </w:rPr>
        <w:t>nexei</w:t>
      </w:r>
      <w:r w:rsidR="00756409">
        <w:rPr>
          <w:rFonts w:ascii="Times New Roman" w:eastAsia="Times New Roman" w:hAnsi="Times New Roman"/>
          <w:sz w:val="24"/>
          <w:szCs w:val="24"/>
          <w:lang w:val="ro-RO" w:eastAsia="en-GB"/>
        </w:rPr>
        <w:t>)</w:t>
      </w:r>
      <w:r w:rsidRPr="00097CB8">
        <w:rPr>
          <w:rFonts w:ascii="Times New Roman" w:eastAsia="Times New Roman" w:hAnsi="Times New Roman"/>
          <w:sz w:val="24"/>
          <w:szCs w:val="24"/>
          <w:lang w:val="ro-RO" w:eastAsia="en-GB"/>
        </w:rPr>
        <w:t>.</w:t>
      </w:r>
    </w:p>
    <w:p w:rsidR="00DC1BD5" w:rsidRPr="006D6724" w:rsidRDefault="00DC1BD5" w:rsidP="00DC1BD5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"/>
          <w:szCs w:val="24"/>
          <w:lang w:val="ro-RO"/>
        </w:rPr>
      </w:pPr>
    </w:p>
    <w:p w:rsidR="00756409" w:rsidRPr="00756409" w:rsidRDefault="00880D48" w:rsidP="009E6404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right="142" w:firstLine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en-GB"/>
        </w:rPr>
        <w:t>Consiliul de a</w:t>
      </w:r>
      <w:r w:rsidR="000D003D" w:rsidRPr="0094748E">
        <w:rPr>
          <w:rFonts w:ascii="Times New Roman" w:eastAsia="Times New Roman" w:hAnsi="Times New Roman"/>
          <w:sz w:val="24"/>
          <w:szCs w:val="24"/>
          <w:lang w:val="ro-RO" w:eastAsia="en-GB"/>
        </w:rPr>
        <w:t>dministrație al A</w:t>
      </w:r>
      <w:r w:rsidR="000D003D">
        <w:rPr>
          <w:rFonts w:ascii="Times New Roman" w:eastAsia="Times New Roman" w:hAnsi="Times New Roman"/>
          <w:sz w:val="24"/>
          <w:szCs w:val="24"/>
          <w:lang w:val="ro-RO" w:eastAsia="en-GB"/>
        </w:rPr>
        <w:t>genției Naționale pentru Reglementare în Energetică</w:t>
      </w:r>
      <w:r w:rsidR="000D003D" w:rsidRPr="0094748E">
        <w:rPr>
          <w:rFonts w:ascii="Times New Roman" w:eastAsia="Times New Roman" w:hAnsi="Times New Roman"/>
          <w:sz w:val="24"/>
          <w:szCs w:val="24"/>
          <w:lang w:val="ro-RO" w:eastAsia="en-GB"/>
        </w:rPr>
        <w:t xml:space="preserve"> va exercita controlul asupra executării prevederilor prezentei Hotărâri.</w:t>
      </w:r>
    </w:p>
    <w:p w:rsidR="00820836" w:rsidRPr="00820836" w:rsidRDefault="00820836" w:rsidP="00820836">
      <w:pPr>
        <w:pStyle w:val="aa"/>
        <w:tabs>
          <w:tab w:val="left" w:pos="0"/>
        </w:tabs>
        <w:rPr>
          <w:rFonts w:ascii="Times New Roman" w:eastAsia="Times New Roman" w:hAnsi="Times New Roman"/>
          <w:sz w:val="6"/>
          <w:szCs w:val="24"/>
          <w:lang w:val="ro-RO" w:eastAsia="ro-RO"/>
        </w:rPr>
      </w:pPr>
    </w:p>
    <w:p w:rsidR="00820836" w:rsidRPr="00126823" w:rsidRDefault="00820836" w:rsidP="006263EB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right="142" w:firstLine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2682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Prezenta Hotărâre intră în vigoare la data de </w:t>
      </w:r>
      <w:r w:rsidR="00901923" w:rsidRPr="00126823">
        <w:rPr>
          <w:rFonts w:ascii="Times New Roman" w:eastAsia="Times New Roman" w:hAnsi="Times New Roman"/>
          <w:sz w:val="24"/>
          <w:szCs w:val="24"/>
          <w:lang w:val="ro-RO" w:eastAsia="ro-RO"/>
        </w:rPr>
        <w:t>01.01</w:t>
      </w:r>
      <w:r w:rsidRPr="00126823">
        <w:rPr>
          <w:rFonts w:ascii="Times New Roman" w:eastAsia="Times New Roman" w:hAnsi="Times New Roman"/>
          <w:sz w:val="24"/>
          <w:szCs w:val="24"/>
          <w:lang w:val="ro-RO" w:eastAsia="ro-RO"/>
        </w:rPr>
        <w:t>.20</w:t>
      </w:r>
      <w:r w:rsidR="00901923" w:rsidRPr="00126823">
        <w:rPr>
          <w:rFonts w:ascii="Times New Roman" w:eastAsia="Times New Roman" w:hAnsi="Times New Roman"/>
          <w:sz w:val="24"/>
          <w:szCs w:val="24"/>
          <w:lang w:val="ro-RO" w:eastAsia="ro-RO"/>
        </w:rPr>
        <w:t>20</w:t>
      </w:r>
      <w:r w:rsidRPr="00126823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C1BD5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44782A" w:rsidRDefault="0044782A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C1BD5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Veaceslav UNTILA</w:t>
      </w:r>
    </w:p>
    <w:p w:rsidR="00DC1BD5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Director general</w:t>
      </w:r>
    </w:p>
    <w:p w:rsidR="00DC1BD5" w:rsidRPr="0044782A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36"/>
          <w:szCs w:val="36"/>
          <w:lang w:val="ro-RO" w:eastAsia="ro-RO"/>
        </w:rPr>
      </w:pPr>
    </w:p>
    <w:p w:rsidR="00C6351E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Eugen CARPOV </w:t>
      </w:r>
    </w:p>
    <w:p w:rsidR="00DC1BD5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Director</w:t>
      </w:r>
    </w:p>
    <w:p w:rsidR="00C6351E" w:rsidRPr="0044782A" w:rsidRDefault="00C6351E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36"/>
          <w:szCs w:val="36"/>
          <w:lang w:val="ro-RO" w:eastAsia="ro-RO"/>
        </w:rPr>
      </w:pPr>
    </w:p>
    <w:p w:rsidR="00C6351E" w:rsidRPr="00C6351E" w:rsidRDefault="00C6351E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6351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Octavian CALMÎC</w:t>
      </w:r>
    </w:p>
    <w:p w:rsidR="00C6351E" w:rsidRDefault="00C6351E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Director</w:t>
      </w:r>
    </w:p>
    <w:p w:rsidR="00DC1BD5" w:rsidRPr="0044782A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36"/>
          <w:szCs w:val="36"/>
          <w:lang w:val="ro-RO" w:eastAsia="ro-RO"/>
        </w:rPr>
      </w:pPr>
    </w:p>
    <w:p w:rsidR="00DC1BD5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Ștefan CREANGĂ</w:t>
      </w:r>
    </w:p>
    <w:p w:rsidR="000D003D" w:rsidRDefault="00DC1BD5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Director</w:t>
      </w:r>
    </w:p>
    <w:p w:rsidR="000D003D" w:rsidRDefault="000D003D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0D003D" w:rsidRDefault="000D003D" w:rsidP="00DC1BD5">
      <w:pPr>
        <w:tabs>
          <w:tab w:val="left" w:pos="360"/>
          <w:tab w:val="left" w:pos="9639"/>
        </w:tabs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26823" w:rsidRDefault="00126823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  <w:r>
        <w:rPr>
          <w:rFonts w:ascii="Times New Roman" w:eastAsia="Times New Roman" w:hAnsi="Times New Roman"/>
          <w:szCs w:val="24"/>
          <w:lang w:eastAsia="ro-RO"/>
        </w:rPr>
        <w:t xml:space="preserve">   </w:t>
      </w:r>
    </w:p>
    <w:p w:rsidR="00383590" w:rsidRDefault="00126823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  <w:r>
        <w:rPr>
          <w:rFonts w:ascii="Times New Roman" w:eastAsia="Times New Roman" w:hAnsi="Times New Roman"/>
          <w:szCs w:val="24"/>
          <w:lang w:eastAsia="ro-RO"/>
        </w:rPr>
        <w:t xml:space="preserve">                                                                                                            </w:t>
      </w: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383590" w:rsidRDefault="00383590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o-RO"/>
        </w:rPr>
      </w:pPr>
    </w:p>
    <w:p w:rsidR="00782096" w:rsidRDefault="00782096" w:rsidP="003835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o-RO"/>
        </w:rPr>
      </w:pPr>
    </w:p>
    <w:p w:rsidR="000D003D" w:rsidRDefault="000D003D" w:rsidP="003835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o-RO"/>
        </w:rPr>
      </w:pPr>
    </w:p>
    <w:p w:rsidR="000D003D" w:rsidRDefault="000D003D" w:rsidP="003835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o-RO"/>
        </w:rPr>
      </w:pPr>
    </w:p>
    <w:p w:rsidR="00383590" w:rsidRPr="00A17B05" w:rsidRDefault="00126823" w:rsidP="003835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o-MD" w:eastAsia="ro-RO"/>
        </w:rPr>
      </w:pPr>
      <w:proofErr w:type="spellStart"/>
      <w:r w:rsidRPr="00A17B05">
        <w:rPr>
          <w:rFonts w:ascii="Times New Roman" w:eastAsia="Times New Roman" w:hAnsi="Times New Roman"/>
          <w:sz w:val="24"/>
          <w:szCs w:val="24"/>
          <w:lang w:eastAsia="ro-RO"/>
        </w:rPr>
        <w:t>Anex</w:t>
      </w:r>
      <w:proofErr w:type="spellEnd"/>
      <w:r w:rsidR="000D003D"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>ă</w:t>
      </w:r>
    </w:p>
    <w:p w:rsidR="00126823" w:rsidRPr="00A17B05" w:rsidRDefault="00126823" w:rsidP="003835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o-MD" w:eastAsia="ro-RO"/>
        </w:rPr>
      </w:pPr>
      <w:r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>la Hotărârea CA al ANRE</w:t>
      </w:r>
    </w:p>
    <w:p w:rsidR="00126823" w:rsidRPr="00A17B05" w:rsidRDefault="00126823" w:rsidP="00A17B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o-MD" w:eastAsia="ro-RO"/>
        </w:rPr>
      </w:pPr>
      <w:r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 xml:space="preserve">                                                                                         </w:t>
      </w:r>
      <w:r w:rsidR="009402DD"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 xml:space="preserve">nr. </w:t>
      </w:r>
      <w:r w:rsidR="00A17B05"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>431/2019</w:t>
      </w:r>
      <w:r w:rsidR="009402DD" w:rsidRPr="00A17B05">
        <w:rPr>
          <w:rFonts w:ascii="Times New Roman" w:eastAsia="Times New Roman" w:hAnsi="Times New Roman"/>
          <w:sz w:val="24"/>
          <w:szCs w:val="24"/>
          <w:lang w:val="ro-MD" w:eastAsia="ro-RO"/>
        </w:rPr>
        <w:t xml:space="preserve"> din </w:t>
      </w:r>
      <w:r w:rsidR="00644F24">
        <w:rPr>
          <w:rFonts w:ascii="Times New Roman" w:hAnsi="Times New Roman"/>
          <w:bCs/>
          <w:sz w:val="24"/>
          <w:szCs w:val="24"/>
          <w:lang w:val="ro-RO"/>
        </w:rPr>
        <w:t>22 noiembrie 2019</w:t>
      </w:r>
    </w:p>
    <w:p w:rsidR="00126823" w:rsidRDefault="00126823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val="ro-MD" w:eastAsia="ro-RO"/>
        </w:rPr>
      </w:pPr>
    </w:p>
    <w:p w:rsidR="00126823" w:rsidRDefault="00126823" w:rsidP="0012682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val="ro-MD" w:eastAsia="ro-RO"/>
        </w:rPr>
      </w:pPr>
    </w:p>
    <w:p w:rsidR="00126823" w:rsidRDefault="00126823" w:rsidP="00126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126823" w:rsidRPr="003C0179" w:rsidRDefault="00126823" w:rsidP="00126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126823" w:rsidRPr="0038534C" w:rsidRDefault="00126823" w:rsidP="0012682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 w:eastAsia="en-GB"/>
        </w:rPr>
      </w:pPr>
      <w:r w:rsidRPr="003C0179">
        <w:rPr>
          <w:rFonts w:ascii="Times New Roman" w:eastAsia="Times New Roman" w:hAnsi="Times New Roman"/>
          <w:bCs/>
          <w:sz w:val="24"/>
          <w:szCs w:val="24"/>
          <w:lang w:val="ro-RO" w:eastAsia="en-GB"/>
        </w:rPr>
        <w:t xml:space="preserve">Mărimea plăților regulatorii </w:t>
      </w:r>
      <w:r>
        <w:rPr>
          <w:rFonts w:ascii="Times New Roman" w:eastAsia="Times New Roman" w:hAnsi="Times New Roman"/>
          <w:bCs/>
          <w:sz w:val="24"/>
          <w:szCs w:val="24"/>
          <w:lang w:val="ro-RO" w:eastAsia="en-GB"/>
        </w:rPr>
        <w:t>pentru anul 2020</w:t>
      </w:r>
    </w:p>
    <w:p w:rsidR="00126823" w:rsidRPr="00A97DCD" w:rsidRDefault="00126823" w:rsidP="00126823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24"/>
          <w:lang w:val="ro-RO" w:eastAsia="ro-RO"/>
        </w:rPr>
      </w:pPr>
    </w:p>
    <w:p w:rsidR="00126823" w:rsidRPr="00DE5209" w:rsidRDefault="00126823" w:rsidP="00126823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24"/>
          <w:lang w:val="ro-MD" w:eastAsia="ro-RO"/>
        </w:rPr>
      </w:pPr>
    </w:p>
    <w:p w:rsidR="00126823" w:rsidRPr="001D74CE" w:rsidRDefault="00126823" w:rsidP="00126823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44546A"/>
          <w:sz w:val="18"/>
          <w:szCs w:val="24"/>
          <w:lang w:val="ro-MD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076"/>
        <w:gridCol w:w="3855"/>
      </w:tblGrid>
      <w:tr w:rsidR="00126823" w:rsidRPr="00282880" w:rsidTr="00282880"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  <w:lang w:val="ro-MD" w:eastAsia="ro-RO"/>
              </w:rPr>
            </w:pPr>
            <w:r w:rsidRPr="00282880"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  <w:t>Nr</w:t>
            </w:r>
            <w:r w:rsidRPr="00282880"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  <w:lang w:val="ro-MD" w:eastAsia="ro-RO"/>
              </w:rPr>
              <w:t xml:space="preserve">. 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</w:pPr>
            <w:proofErr w:type="spellStart"/>
            <w:r w:rsidRPr="00282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Domeniile</w:t>
            </w:r>
            <w:proofErr w:type="spellEnd"/>
            <w:r w:rsidRPr="00282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82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reglementate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126823" w:rsidRPr="00A97DCD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</w:pPr>
            <w:r w:rsidRPr="00A97DCD"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  <w:t>Mărimea plății regulatorii (%)</w:t>
            </w:r>
          </w:p>
        </w:tc>
      </w:tr>
      <w:tr w:rsidR="00126823" w:rsidRPr="00282880" w:rsidTr="00282880"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  <w:t>1.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Sectorul electro</w:t>
            </w: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energe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t</w:t>
            </w: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ic</w:t>
            </w:r>
          </w:p>
        </w:tc>
        <w:tc>
          <w:tcPr>
            <w:tcW w:w="4076" w:type="dxa"/>
            <w:shd w:val="clear" w:color="auto" w:fill="auto"/>
          </w:tcPr>
          <w:p w:rsidR="00126823" w:rsidRPr="00905D71" w:rsidRDefault="00126823" w:rsidP="00BA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0.</w:t>
            </w:r>
            <w:r w:rsidR="0038359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2</w:t>
            </w:r>
            <w:r w:rsidR="006A007B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</w:t>
            </w:r>
          </w:p>
        </w:tc>
      </w:tr>
      <w:tr w:rsidR="00126823" w:rsidRPr="00282880" w:rsidTr="00282880"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  <w:t>2.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 xml:space="preserve">Sectorul </w:t>
            </w: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gazelor naturale</w:t>
            </w:r>
          </w:p>
        </w:tc>
        <w:tc>
          <w:tcPr>
            <w:tcW w:w="4076" w:type="dxa"/>
            <w:shd w:val="clear" w:color="auto" w:fill="auto"/>
          </w:tcPr>
          <w:p w:rsidR="00126823" w:rsidRPr="00905D71" w:rsidRDefault="00383590" w:rsidP="00BA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0.2</w:t>
            </w:r>
            <w:r w:rsidR="006A007B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</w:t>
            </w:r>
          </w:p>
        </w:tc>
      </w:tr>
      <w:tr w:rsidR="00126823" w:rsidRPr="00282880" w:rsidTr="00282880"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  <w:t>3.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o-MD" w:eastAsia="ro-RO"/>
              </w:rPr>
            </w:pP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Sectorul termoenergetic</w:t>
            </w:r>
          </w:p>
        </w:tc>
        <w:tc>
          <w:tcPr>
            <w:tcW w:w="4076" w:type="dxa"/>
            <w:shd w:val="clear" w:color="auto" w:fill="auto"/>
          </w:tcPr>
          <w:p w:rsidR="00126823" w:rsidRPr="00905D71" w:rsidRDefault="00383590" w:rsidP="00BA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0.2</w:t>
            </w:r>
            <w:r w:rsidR="006A007B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</w:t>
            </w:r>
          </w:p>
        </w:tc>
      </w:tr>
      <w:tr w:rsidR="00126823" w:rsidRPr="00282880" w:rsidTr="00282880"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  <w:t>4.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 xml:space="preserve">Piața produselor petroliere </w:t>
            </w:r>
          </w:p>
        </w:tc>
        <w:tc>
          <w:tcPr>
            <w:tcW w:w="4076" w:type="dxa"/>
            <w:shd w:val="clear" w:color="auto" w:fill="auto"/>
          </w:tcPr>
          <w:p w:rsidR="00126823" w:rsidRPr="00905D71" w:rsidRDefault="00383590" w:rsidP="00BA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0.2</w:t>
            </w:r>
            <w:r w:rsidR="006A007B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</w:t>
            </w:r>
          </w:p>
        </w:tc>
      </w:tr>
      <w:tr w:rsidR="00126823" w:rsidRPr="00282880" w:rsidTr="008B126D">
        <w:trPr>
          <w:trHeight w:val="70"/>
        </w:trPr>
        <w:tc>
          <w:tcPr>
            <w:tcW w:w="556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lang w:val="ro-MD" w:eastAsia="ro-RO"/>
              </w:rPr>
              <w:t>5.</w:t>
            </w:r>
          </w:p>
        </w:tc>
        <w:tc>
          <w:tcPr>
            <w:tcW w:w="5364" w:type="dxa"/>
            <w:shd w:val="clear" w:color="auto" w:fill="auto"/>
          </w:tcPr>
          <w:p w:rsidR="00126823" w:rsidRPr="00282880" w:rsidRDefault="00126823" w:rsidP="0044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 w:rsidRPr="00282880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Serviciul public de alimentare cu apă și de canalizare</w:t>
            </w:r>
          </w:p>
        </w:tc>
        <w:tc>
          <w:tcPr>
            <w:tcW w:w="4076" w:type="dxa"/>
            <w:shd w:val="clear" w:color="auto" w:fill="auto"/>
          </w:tcPr>
          <w:p w:rsidR="00126823" w:rsidRPr="00905D71" w:rsidRDefault="00383590" w:rsidP="00BA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0.</w:t>
            </w:r>
            <w:r w:rsidR="006A007B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15</w:t>
            </w:r>
          </w:p>
        </w:tc>
      </w:tr>
    </w:tbl>
    <w:p w:rsidR="00126823" w:rsidRPr="002F70FB" w:rsidRDefault="00126823" w:rsidP="00126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D" w:eastAsia="ro-RO"/>
        </w:rPr>
      </w:pPr>
    </w:p>
    <w:p w:rsidR="00126823" w:rsidRPr="002F70FB" w:rsidRDefault="00126823" w:rsidP="00126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D" w:eastAsia="ro-RO"/>
        </w:rPr>
      </w:pPr>
      <w:r w:rsidRPr="002F70FB">
        <w:rPr>
          <w:rFonts w:ascii="Times New Roman" w:eastAsia="Times New Roman" w:hAnsi="Times New Roman"/>
          <w:sz w:val="24"/>
          <w:szCs w:val="24"/>
          <w:lang w:val="ro-MD" w:eastAsia="ro-RO"/>
        </w:rPr>
        <w:t xml:space="preserve"> </w:t>
      </w:r>
    </w:p>
    <w:p w:rsidR="00126823" w:rsidRPr="002F70FB" w:rsidRDefault="00126823" w:rsidP="001268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o-MD" w:eastAsia="ro-RO"/>
        </w:rPr>
      </w:pPr>
    </w:p>
    <w:p w:rsidR="00126823" w:rsidRDefault="00126823" w:rsidP="00DC1BD5">
      <w:pPr>
        <w:tabs>
          <w:tab w:val="left" w:pos="284"/>
          <w:tab w:val="left" w:pos="9637"/>
        </w:tabs>
        <w:spacing w:after="0" w:line="360" w:lineRule="auto"/>
        <w:ind w:left="284" w:right="142"/>
        <w:jc w:val="both"/>
        <w:rPr>
          <w:rFonts w:ascii="Times New Roman" w:eastAsia="Times New Roman" w:hAnsi="Times New Roman"/>
          <w:color w:val="FF0000"/>
          <w:sz w:val="2"/>
          <w:szCs w:val="24"/>
          <w:lang w:val="ro-RO" w:eastAsia="ro-RO"/>
        </w:rPr>
      </w:pPr>
    </w:p>
    <w:sectPr w:rsidR="00126823" w:rsidSect="00782096">
      <w:headerReference w:type="first" r:id="rId9"/>
      <w:pgSz w:w="11907" w:h="16839" w:code="9"/>
      <w:pgMar w:top="-1418" w:right="850" w:bottom="993" w:left="1560" w:header="5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E0" w:rsidRDefault="00FC6BE0" w:rsidP="00A56CC1">
      <w:pPr>
        <w:spacing w:after="0" w:line="240" w:lineRule="auto"/>
      </w:pPr>
      <w:r>
        <w:separator/>
      </w:r>
    </w:p>
  </w:endnote>
  <w:endnote w:type="continuationSeparator" w:id="0">
    <w:p w:rsidR="00FC6BE0" w:rsidRDefault="00FC6BE0" w:rsidP="00A5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E0" w:rsidRDefault="00FC6BE0" w:rsidP="00A56CC1">
      <w:pPr>
        <w:spacing w:after="0" w:line="240" w:lineRule="auto"/>
      </w:pPr>
      <w:r>
        <w:separator/>
      </w:r>
    </w:p>
  </w:footnote>
  <w:footnote w:type="continuationSeparator" w:id="0">
    <w:p w:rsidR="00FC6BE0" w:rsidRDefault="00FC6BE0" w:rsidP="00A5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6248"/>
    </w:tblGrid>
    <w:tr w:rsidR="003B7DD6" w:rsidTr="00F946BC">
      <w:trPr>
        <w:trHeight w:val="273"/>
      </w:trPr>
      <w:tc>
        <w:tcPr>
          <w:tcW w:w="3680" w:type="dxa"/>
          <w:vMerge w:val="restart"/>
        </w:tcPr>
        <w:p w:rsidR="003B7DD6" w:rsidRPr="00C11639" w:rsidRDefault="003B7DD6" w:rsidP="003B7DD6">
          <w:pPr>
            <w:pStyle w:val="a3"/>
            <w:jc w:val="center"/>
            <w:rPr>
              <w:color w:val="000000" w:themeColor="text1"/>
              <w:lang w:val="ro-RO"/>
            </w:rPr>
          </w:pPr>
          <w:r>
            <w:rPr>
              <w:noProof/>
              <w:color w:val="000000" w:themeColor="text1"/>
              <w:lang w:val="ru-RU" w:eastAsia="ru-RU"/>
            </w:rPr>
            <w:drawing>
              <wp:inline distT="0" distB="0" distL="0" distR="0" wp14:anchorId="1F942AB4" wp14:editId="123710BD">
                <wp:extent cx="993775" cy="1144905"/>
                <wp:effectExtent l="0" t="0" r="0" b="0"/>
                <wp:docPr id="46" name="Picture 4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4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8" w:type="dxa"/>
          <w:vAlign w:val="center"/>
        </w:tcPr>
        <w:p w:rsidR="003B7DD6" w:rsidRPr="00ED1EC8" w:rsidRDefault="003B7DD6" w:rsidP="003B7DD6">
          <w:pPr>
            <w:pStyle w:val="a3"/>
            <w:ind w:left="-108"/>
            <w:rPr>
              <w:b/>
              <w:color w:val="000000" w:themeColor="text1"/>
              <w:sz w:val="32"/>
              <w:szCs w:val="32"/>
              <w:lang w:val="ro-RO"/>
            </w:rPr>
          </w:pPr>
          <w:r w:rsidRPr="00767164"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 w:rsidRPr="00ED1EC8">
            <w:rPr>
              <w:b/>
              <w:color w:val="1F4E79" w:themeColor="accent1" w:themeShade="80"/>
              <w:sz w:val="32"/>
              <w:szCs w:val="32"/>
              <w:lang w:val="ro-RO"/>
            </w:rPr>
            <w:t>Republica Moldova</w:t>
          </w:r>
        </w:p>
      </w:tc>
    </w:tr>
    <w:tr w:rsidR="003B7DD6" w:rsidTr="00F946BC">
      <w:trPr>
        <w:trHeight w:val="582"/>
      </w:trPr>
      <w:tc>
        <w:tcPr>
          <w:tcW w:w="3680" w:type="dxa"/>
          <w:vMerge/>
        </w:tcPr>
        <w:p w:rsidR="003B7DD6" w:rsidRPr="00A56CC1" w:rsidRDefault="003B7DD6" w:rsidP="003B7DD6">
          <w:pPr>
            <w:pStyle w:val="a3"/>
            <w:jc w:val="center"/>
            <w:rPr>
              <w:color w:val="000000" w:themeColor="text1"/>
              <w:lang w:val="ro-RO"/>
            </w:rPr>
          </w:pPr>
        </w:p>
      </w:tc>
      <w:tc>
        <w:tcPr>
          <w:tcW w:w="6248" w:type="dxa"/>
          <w:vAlign w:val="bottom"/>
        </w:tcPr>
        <w:p w:rsidR="003B7DD6" w:rsidRPr="00C11639" w:rsidRDefault="003B7DD6" w:rsidP="003B7DD6">
          <w:pPr>
            <w:pStyle w:val="a3"/>
            <w:tabs>
              <w:tab w:val="clear" w:pos="4844"/>
            </w:tabs>
            <w:rPr>
              <w:b/>
              <w:color w:val="1F4E79" w:themeColor="accent1" w:themeShade="80"/>
              <w:sz w:val="28"/>
              <w:szCs w:val="28"/>
              <w:lang w:val="ro-RO"/>
            </w:rPr>
          </w:pP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Agenți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>a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Națională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pentru Reglementare în Energetică</w:t>
          </w:r>
        </w:p>
      </w:tc>
    </w:tr>
    <w:tr w:rsidR="003B7DD6" w:rsidTr="00F946BC">
      <w:trPr>
        <w:trHeight w:val="561"/>
      </w:trPr>
      <w:tc>
        <w:tcPr>
          <w:tcW w:w="3680" w:type="dxa"/>
          <w:vMerge/>
        </w:tcPr>
        <w:p w:rsidR="003B7DD6" w:rsidRPr="00A56CC1" w:rsidRDefault="003B7DD6" w:rsidP="003B7DD6">
          <w:pPr>
            <w:pStyle w:val="a3"/>
            <w:ind w:left="1243"/>
            <w:rPr>
              <w:color w:val="000000" w:themeColor="text1"/>
              <w:lang w:val="ro-RO"/>
            </w:rPr>
          </w:pPr>
        </w:p>
      </w:tc>
      <w:tc>
        <w:tcPr>
          <w:tcW w:w="6248" w:type="dxa"/>
          <w:tcBorders>
            <w:bottom w:val="double" w:sz="4" w:space="0" w:color="4472C4" w:themeColor="accent5"/>
          </w:tcBorders>
        </w:tcPr>
        <w:p w:rsidR="003B7DD6" w:rsidRPr="001C49E2" w:rsidRDefault="003B7DD6" w:rsidP="003B7DD6">
          <w:pPr>
            <w:pStyle w:val="a3"/>
            <w:rPr>
              <w:color w:val="000000" w:themeColor="text1"/>
              <w:lang w:val="ro-RO"/>
            </w:rPr>
          </w:pPr>
          <w:r w:rsidRPr="000305EA">
            <w:rPr>
              <w:b/>
              <w:color w:val="1F4E79" w:themeColor="accent1" w:themeShade="80"/>
              <w:sz w:val="36"/>
              <w:szCs w:val="36"/>
              <w:lang w:val="ro-RO"/>
            </w:rPr>
            <w:t>ANRE</w:t>
          </w:r>
        </w:p>
      </w:tc>
    </w:tr>
    <w:tr w:rsidR="003B7DD6" w:rsidRPr="00587CE2" w:rsidTr="00F946BC">
      <w:trPr>
        <w:trHeight w:val="301"/>
      </w:trPr>
      <w:tc>
        <w:tcPr>
          <w:tcW w:w="3680" w:type="dxa"/>
          <w:vMerge/>
        </w:tcPr>
        <w:p w:rsidR="003B7DD6" w:rsidRPr="00587CE2" w:rsidRDefault="003B7DD6" w:rsidP="003B7DD6">
          <w:pPr>
            <w:pStyle w:val="a3"/>
            <w:ind w:left="1243"/>
            <w:rPr>
              <w:color w:val="1F4E79" w:themeColor="accent1" w:themeShade="80"/>
              <w:lang w:val="ro-RO"/>
            </w:rPr>
          </w:pPr>
        </w:p>
      </w:tc>
      <w:tc>
        <w:tcPr>
          <w:tcW w:w="6248" w:type="dxa"/>
          <w:tcBorders>
            <w:top w:val="double" w:sz="4" w:space="0" w:color="4472C4" w:themeColor="accent5"/>
          </w:tcBorders>
        </w:tcPr>
        <w:p w:rsidR="003B7DD6" w:rsidRPr="00455806" w:rsidRDefault="003B7DD6" w:rsidP="003B7DD6">
          <w:pPr>
            <w:pStyle w:val="a3"/>
            <w:rPr>
              <w:color w:val="1F4E79" w:themeColor="accent1" w:themeShade="80"/>
              <w:sz w:val="16"/>
              <w:szCs w:val="16"/>
              <w:lang w:val="ro-RO"/>
            </w:rPr>
          </w:pPr>
          <w:r>
            <w:rPr>
              <w:color w:val="1F4E79" w:themeColor="accent1" w:themeShade="80"/>
              <w:sz w:val="16"/>
              <w:szCs w:val="16"/>
              <w:lang w:val="ro-RO"/>
            </w:rPr>
            <w:t>s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 xml:space="preserve">tr. Columna, nr. 90, MD-2012 Chișinău, Tel: 022 852 901, </w:t>
          </w:r>
          <w:hyperlink r:id="rId2" w:history="1">
            <w:r w:rsidRPr="00455806">
              <w:rPr>
                <w:rStyle w:val="a7"/>
                <w:color w:val="1F4E79" w:themeColor="accent1" w:themeShade="80"/>
                <w:sz w:val="16"/>
                <w:szCs w:val="16"/>
                <w:lang w:val="ro-RO"/>
              </w:rPr>
              <w:t>anre@anre.md</w:t>
            </w:r>
          </w:hyperlink>
          <w:r>
            <w:rPr>
              <w:rStyle w:val="a7"/>
              <w:color w:val="1F4E79" w:themeColor="accent1" w:themeShade="80"/>
              <w:sz w:val="16"/>
              <w:szCs w:val="16"/>
              <w:lang w:val="ro-RO"/>
            </w:rPr>
            <w:t>,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 xml:space="preserve"> </w:t>
          </w:r>
          <w:hyperlink r:id="rId3" w:history="1">
            <w:r w:rsidRPr="00455806">
              <w:rPr>
                <w:rStyle w:val="a7"/>
                <w:color w:val="1F4E79" w:themeColor="accent1" w:themeShade="80"/>
                <w:sz w:val="16"/>
                <w:szCs w:val="16"/>
                <w:lang w:val="ro-RO"/>
              </w:rPr>
              <w:t>http://www.anre.md</w:t>
            </w:r>
          </w:hyperlink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 xml:space="preserve"> </w:t>
          </w:r>
        </w:p>
      </w:tc>
    </w:tr>
  </w:tbl>
  <w:p w:rsidR="003B7DD6" w:rsidRDefault="003B7D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D69"/>
    <w:multiLevelType w:val="hybridMultilevel"/>
    <w:tmpl w:val="94BC5DEC"/>
    <w:lvl w:ilvl="0" w:tplc="922ACF9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4276DF"/>
    <w:multiLevelType w:val="hybridMultilevel"/>
    <w:tmpl w:val="B5064E5C"/>
    <w:lvl w:ilvl="0" w:tplc="30A828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28D1"/>
    <w:multiLevelType w:val="hybridMultilevel"/>
    <w:tmpl w:val="E422A712"/>
    <w:lvl w:ilvl="0" w:tplc="CD62D5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D5"/>
    <w:rsid w:val="00010FAC"/>
    <w:rsid w:val="000305EA"/>
    <w:rsid w:val="000310EA"/>
    <w:rsid w:val="00036563"/>
    <w:rsid w:val="00044CF8"/>
    <w:rsid w:val="00053BA4"/>
    <w:rsid w:val="000B0709"/>
    <w:rsid w:val="000C638B"/>
    <w:rsid w:val="000D003D"/>
    <w:rsid w:val="000F5662"/>
    <w:rsid w:val="00105767"/>
    <w:rsid w:val="0012119A"/>
    <w:rsid w:val="00121B90"/>
    <w:rsid w:val="00126823"/>
    <w:rsid w:val="00133537"/>
    <w:rsid w:val="00140F3F"/>
    <w:rsid w:val="00165FE0"/>
    <w:rsid w:val="00170E2C"/>
    <w:rsid w:val="0019479D"/>
    <w:rsid w:val="00197682"/>
    <w:rsid w:val="001A6613"/>
    <w:rsid w:val="001B20E1"/>
    <w:rsid w:val="001C49E2"/>
    <w:rsid w:val="001F0A60"/>
    <w:rsid w:val="002136CF"/>
    <w:rsid w:val="00220CFC"/>
    <w:rsid w:val="00253856"/>
    <w:rsid w:val="002634E2"/>
    <w:rsid w:val="002A0810"/>
    <w:rsid w:val="002A4499"/>
    <w:rsid w:val="002B2387"/>
    <w:rsid w:val="002C453A"/>
    <w:rsid w:val="00302DDC"/>
    <w:rsid w:val="003075E1"/>
    <w:rsid w:val="00334832"/>
    <w:rsid w:val="00362138"/>
    <w:rsid w:val="00383590"/>
    <w:rsid w:val="003B6838"/>
    <w:rsid w:val="003B7DD6"/>
    <w:rsid w:val="003F0524"/>
    <w:rsid w:val="00400E38"/>
    <w:rsid w:val="0041249D"/>
    <w:rsid w:val="00422E4A"/>
    <w:rsid w:val="0044782A"/>
    <w:rsid w:val="004478CC"/>
    <w:rsid w:val="00455806"/>
    <w:rsid w:val="004760C9"/>
    <w:rsid w:val="00481BA8"/>
    <w:rsid w:val="00496609"/>
    <w:rsid w:val="004C7499"/>
    <w:rsid w:val="004D1BB8"/>
    <w:rsid w:val="00504DEC"/>
    <w:rsid w:val="005118FE"/>
    <w:rsid w:val="00525E72"/>
    <w:rsid w:val="0053299F"/>
    <w:rsid w:val="005471D3"/>
    <w:rsid w:val="00587448"/>
    <w:rsid w:val="00587CE2"/>
    <w:rsid w:val="00590C79"/>
    <w:rsid w:val="005C0C03"/>
    <w:rsid w:val="00622EEA"/>
    <w:rsid w:val="00627186"/>
    <w:rsid w:val="00631C39"/>
    <w:rsid w:val="00637491"/>
    <w:rsid w:val="00641A44"/>
    <w:rsid w:val="00644F24"/>
    <w:rsid w:val="00672054"/>
    <w:rsid w:val="006A007B"/>
    <w:rsid w:val="006D6724"/>
    <w:rsid w:val="006E761F"/>
    <w:rsid w:val="00756409"/>
    <w:rsid w:val="00767164"/>
    <w:rsid w:val="00775C21"/>
    <w:rsid w:val="00782096"/>
    <w:rsid w:val="007862CF"/>
    <w:rsid w:val="00797F2F"/>
    <w:rsid w:val="007E3B75"/>
    <w:rsid w:val="00811DD6"/>
    <w:rsid w:val="00812627"/>
    <w:rsid w:val="00815B06"/>
    <w:rsid w:val="00820836"/>
    <w:rsid w:val="00824818"/>
    <w:rsid w:val="00836C4B"/>
    <w:rsid w:val="00870C43"/>
    <w:rsid w:val="00880D48"/>
    <w:rsid w:val="00896365"/>
    <w:rsid w:val="00897344"/>
    <w:rsid w:val="008A59BA"/>
    <w:rsid w:val="008C2E5E"/>
    <w:rsid w:val="008D2107"/>
    <w:rsid w:val="008D21EB"/>
    <w:rsid w:val="00901923"/>
    <w:rsid w:val="00930ECC"/>
    <w:rsid w:val="009402DD"/>
    <w:rsid w:val="00976F93"/>
    <w:rsid w:val="00981047"/>
    <w:rsid w:val="00995AF6"/>
    <w:rsid w:val="009E3EBD"/>
    <w:rsid w:val="00A03338"/>
    <w:rsid w:val="00A13340"/>
    <w:rsid w:val="00A17B05"/>
    <w:rsid w:val="00A23752"/>
    <w:rsid w:val="00A37B48"/>
    <w:rsid w:val="00A54DAF"/>
    <w:rsid w:val="00A56CC1"/>
    <w:rsid w:val="00AF4E84"/>
    <w:rsid w:val="00B23B85"/>
    <w:rsid w:val="00B25A5D"/>
    <w:rsid w:val="00B3316F"/>
    <w:rsid w:val="00B33304"/>
    <w:rsid w:val="00B97BC4"/>
    <w:rsid w:val="00BA35C2"/>
    <w:rsid w:val="00BB47E3"/>
    <w:rsid w:val="00BB4A80"/>
    <w:rsid w:val="00BB7A34"/>
    <w:rsid w:val="00BC13F3"/>
    <w:rsid w:val="00BE07E2"/>
    <w:rsid w:val="00BE7B32"/>
    <w:rsid w:val="00C11639"/>
    <w:rsid w:val="00C14483"/>
    <w:rsid w:val="00C206C9"/>
    <w:rsid w:val="00C514C9"/>
    <w:rsid w:val="00C55921"/>
    <w:rsid w:val="00C6351E"/>
    <w:rsid w:val="00CA7924"/>
    <w:rsid w:val="00D10DB1"/>
    <w:rsid w:val="00D13537"/>
    <w:rsid w:val="00D23F55"/>
    <w:rsid w:val="00D316C3"/>
    <w:rsid w:val="00D7610F"/>
    <w:rsid w:val="00DB5B27"/>
    <w:rsid w:val="00DC1BD5"/>
    <w:rsid w:val="00DD220D"/>
    <w:rsid w:val="00E236B9"/>
    <w:rsid w:val="00E52F5E"/>
    <w:rsid w:val="00E83526"/>
    <w:rsid w:val="00E86DD9"/>
    <w:rsid w:val="00E931EA"/>
    <w:rsid w:val="00EB0475"/>
    <w:rsid w:val="00ED1EC8"/>
    <w:rsid w:val="00F04B09"/>
    <w:rsid w:val="00F32242"/>
    <w:rsid w:val="00F3618F"/>
    <w:rsid w:val="00F55485"/>
    <w:rsid w:val="00FB241C"/>
    <w:rsid w:val="00FB2DAE"/>
    <w:rsid w:val="00FC49ED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68142AF-AD3B-4047-929A-D766758F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CC1"/>
  </w:style>
  <w:style w:type="paragraph" w:styleId="a5">
    <w:name w:val="footer"/>
    <w:basedOn w:val="a"/>
    <w:link w:val="a6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CC1"/>
  </w:style>
  <w:style w:type="character" w:styleId="a7">
    <w:name w:val="Hyperlink"/>
    <w:basedOn w:val="a0"/>
    <w:uiPriority w:val="99"/>
    <w:unhideWhenUsed/>
    <w:rsid w:val="00A56CC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5E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DC1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semiHidden/>
    <w:rsid w:val="00DC1BD5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a">
    <w:name w:val="List Paragraph"/>
    <w:basedOn w:val="a"/>
    <w:uiPriority w:val="34"/>
    <w:qFormat/>
    <w:rsid w:val="00DC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31213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icolaev\Desktop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7CDF-9555-46BC-850E-76215787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Nicolaev</dc:creator>
  <cp:keywords/>
  <dc:description/>
  <cp:lastModifiedBy>Alina Plesca</cp:lastModifiedBy>
  <cp:revision>6</cp:revision>
  <cp:lastPrinted>2019-11-22T14:25:00Z</cp:lastPrinted>
  <dcterms:created xsi:type="dcterms:W3CDTF">2019-11-22T13:23:00Z</dcterms:created>
  <dcterms:modified xsi:type="dcterms:W3CDTF">2019-12-20T06:16:00Z</dcterms:modified>
</cp:coreProperties>
</file>